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3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820"/>
        <w:gridCol w:w="560"/>
        <w:gridCol w:w="1363"/>
        <w:gridCol w:w="1134"/>
        <w:gridCol w:w="1275"/>
        <w:gridCol w:w="993"/>
        <w:gridCol w:w="1559"/>
        <w:gridCol w:w="1276"/>
        <w:gridCol w:w="1701"/>
      </w:tblGrid>
      <w:tr w:rsidR="001F0ED7" w:rsidTr="00CB03DE">
        <w:trPr>
          <w:trHeight w:val="315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ind w:left="113" w:right="113"/>
              <w:jc w:val="center"/>
            </w:pPr>
            <w:r>
              <w:t>Наименование  ГРБС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Степень качества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Место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Итоговая оценка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jc w:val="center"/>
            </w:pPr>
            <w:r>
              <w:t>Оценка по группе показателей</w:t>
            </w:r>
          </w:p>
        </w:tc>
      </w:tr>
      <w:tr w:rsidR="001F0ED7" w:rsidTr="00CB03DE">
        <w:trPr>
          <w:trHeight w:val="4276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1F0ED7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1F0ED7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1F0ED7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1F0ED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Качество финансового планирования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Качество исполнения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Учет и 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Исполнения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Контроль и аудит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ED7" w:rsidRDefault="003E6C81">
            <w:pPr>
              <w:jc w:val="center"/>
            </w:pPr>
            <w:r>
              <w:t>Обеспечение публичности  и открытости</w:t>
            </w:r>
          </w:p>
        </w:tc>
      </w:tr>
      <w:tr w:rsidR="001F0ED7" w:rsidTr="00CB03DE">
        <w:trPr>
          <w:trHeight w:val="33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Лисинского сельского поселение Тосненского района Ленинградской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1F0ED7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 w:rsidP="002129AF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2129A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2129A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2129AF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ED7" w:rsidRDefault="003E6C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F0ED7" w:rsidRDefault="003E6C81">
      <w:pPr>
        <w:jc w:val="center"/>
        <w:rPr>
          <w:b/>
        </w:rPr>
      </w:pPr>
      <w:r>
        <w:rPr>
          <w:b/>
        </w:rPr>
        <w:t>Оценка качества финансового менеджмента за 2024 год</w:t>
      </w:r>
    </w:p>
    <w:p w:rsidR="001F0ED7" w:rsidRDefault="001F0ED7"/>
    <w:p w:rsidR="001F0ED7" w:rsidRDefault="001F0ED7"/>
    <w:p w:rsidR="001F0ED7" w:rsidRDefault="001F0ED7"/>
    <w:p w:rsidR="001F0ED7" w:rsidRDefault="001F0ED7"/>
    <w:p w:rsidR="001F0ED7" w:rsidRDefault="001F0ED7"/>
    <w:p w:rsidR="00CB03DE" w:rsidRDefault="00CB03DE"/>
    <w:p w:rsidR="00CB03DE" w:rsidRDefault="00CB03DE"/>
    <w:tbl>
      <w:tblPr>
        <w:tblpPr w:leftFromText="180" w:rightFromText="180" w:horzAnchor="margin" w:tblpY="1743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401"/>
        <w:gridCol w:w="5949"/>
        <w:gridCol w:w="2538"/>
        <w:gridCol w:w="13"/>
        <w:gridCol w:w="1703"/>
      </w:tblGrid>
      <w:tr w:rsidR="001F0ED7">
        <w:trPr>
          <w:tblHeader/>
        </w:trPr>
        <w:tc>
          <w:tcPr>
            <w:tcW w:w="991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1F0ED7">
            <w:pPr>
              <w:spacing w:before="40" w:after="40"/>
              <w:rPr>
                <w:b/>
              </w:rPr>
            </w:pPr>
          </w:p>
        </w:tc>
        <w:tc>
          <w:tcPr>
            <w:tcW w:w="340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Группа показателей/ Наименование показателей</w:t>
            </w:r>
          </w:p>
        </w:tc>
        <w:tc>
          <w:tcPr>
            <w:tcW w:w="594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Формула расчета показателя, единицы измерения показателя</w:t>
            </w:r>
          </w:p>
        </w:tc>
        <w:tc>
          <w:tcPr>
            <w:tcW w:w="2551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Интерпретация значений</w:t>
            </w:r>
          </w:p>
        </w:tc>
        <w:tc>
          <w:tcPr>
            <w:tcW w:w="170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Оценка показателя (балл)</w:t>
            </w:r>
          </w:p>
        </w:tc>
      </w:tr>
      <w:tr w:rsidR="001F0ED7">
        <w:trPr>
          <w:tblHeader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000000"/>
              <w:right w:val="single" w:sz="4" w:space="0" w:color="808080"/>
            </w:tcBorders>
          </w:tcPr>
          <w:p w:rsidR="001F0ED7" w:rsidRDefault="001F0ED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jc w:val="center"/>
            </w:pPr>
            <w:r>
              <w:t>4</w:t>
            </w:r>
          </w:p>
        </w:tc>
      </w:tr>
      <w:tr w:rsidR="001F0ED7">
        <w:trPr>
          <w:trHeight w:val="28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1.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 xml:space="preserve"> Качество  бюджетного  планирования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1F0ED7">
            <w:pPr>
              <w:spacing w:before="40" w:after="40"/>
              <w:ind w:left="85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F0ED7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t>1.1.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tabs>
                <w:tab w:val="left" w:pos="2918"/>
              </w:tabs>
              <w:spacing w:after="40" w:line="240" w:lineRule="exact"/>
            </w:pPr>
            <w:r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.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 xml:space="preserve"> = К / (1 + </w:t>
            </w: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+ </w:t>
            </w: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proofErr w:type="gramStart"/>
            <w:r>
              <w:t>)(</w:t>
            </w:r>
            <w:proofErr w:type="spellStart"/>
            <w:proofErr w:type="gramEnd"/>
            <w:r>
              <w:t>шт</w:t>
            </w:r>
            <w:proofErr w:type="spellEnd"/>
            <w:r>
              <w:t>),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r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– количество уведомлений </w:t>
            </w:r>
            <w:r>
              <w:br/>
              <w:t xml:space="preserve">об изменении бюджетных ассигнований в расчете </w:t>
            </w:r>
            <w:r>
              <w:br/>
              <w:t>на 1 получателя за отчетный период;</w:t>
            </w:r>
          </w:p>
          <w:p w:rsidR="001F0ED7" w:rsidRDefault="003E6C81">
            <w:pPr>
              <w:spacing w:after="40" w:line="240" w:lineRule="exact"/>
            </w:pPr>
            <w:proofErr w:type="gramStart"/>
            <w:r>
              <w:t>К</w:t>
            </w:r>
            <w:proofErr w:type="gramEnd"/>
            <w:r>
              <w:t xml:space="preserve"> – количество уведомлений </w:t>
            </w:r>
            <w:r>
              <w:br/>
              <w:t>об изменении бюджетных ассигнований ГРБС за отчетный период;</w:t>
            </w:r>
          </w:p>
          <w:p w:rsidR="001F0ED7" w:rsidRDefault="003E6C81">
            <w:pPr>
              <w:spacing w:after="40" w:line="240" w:lineRule="exact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пбс</w:t>
            </w:r>
            <w:proofErr w:type="spellEnd"/>
            <w:r>
              <w:t xml:space="preserve"> – среднее за период количество подведомственных ГРБС получателей средств бюджета;</w:t>
            </w:r>
          </w:p>
          <w:p w:rsidR="001F0ED7" w:rsidRDefault="003E6C81">
            <w:pPr>
              <w:spacing w:after="40" w:line="240" w:lineRule="exact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гз</w:t>
            </w:r>
            <w:proofErr w:type="spellEnd"/>
            <w: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t xml:space="preserve"> = (</w:t>
            </w: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</w:t>
            </w: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>) / 2,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 xml:space="preserve">) </w:t>
            </w:r>
            <w:r>
              <w:t>– количество подведомственных ГРБС получателей средств бюджета на конец отчетного периода.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= (</w:t>
            </w: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</w:t>
            </w: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>) / 2,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≤ (3 × n);</w:t>
            </w:r>
          </w:p>
          <w:p w:rsidR="001F0ED7" w:rsidRDefault="003E6C81">
            <w:pPr>
              <w:spacing w:after="40" w:line="240" w:lineRule="exact"/>
            </w:pPr>
            <w:r>
              <w:t xml:space="preserve"> 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before="40" w:after="40"/>
              <w:ind w:left="85"/>
            </w:pPr>
            <w:r>
              <w:t xml:space="preserve">n – количество кварталов </w:t>
            </w:r>
            <w:r>
              <w:br/>
              <w:t>в отчетном периоде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lastRenderedPageBreak/>
              <w:t>1.2.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. Наличие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proofErr w:type="spellStart"/>
            <w:r>
              <w:t>ROнпа</w:t>
            </w:r>
            <w:proofErr w:type="spellEnd"/>
            <w:r>
              <w:t xml:space="preserve"> / RO x 100</w:t>
            </w:r>
            <w:proofErr w:type="gramStart"/>
            <w:r>
              <w:t xml:space="preserve">( </w:t>
            </w:r>
            <w:proofErr w:type="gramEnd"/>
            <w:r>
              <w:t>%),</w:t>
            </w:r>
            <w:r>
              <w:br/>
            </w:r>
            <w:r>
              <w:br/>
              <w:t>где</w:t>
            </w:r>
            <w:r>
              <w:br/>
              <w:t>Р</w:t>
            </w:r>
            <w:r>
              <w:rPr>
                <w:vertAlign w:val="subscript"/>
              </w:rPr>
              <w:t>2</w:t>
            </w:r>
            <w:r>
              <w:t xml:space="preserve"> - доля 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 за отчетный период к общему количеству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</w:t>
            </w:r>
            <w:proofErr w:type="gramStart"/>
            <w:r>
              <w:t>отчетный период;</w:t>
            </w:r>
            <w:r>
              <w:br/>
            </w:r>
            <w:proofErr w:type="spellStart"/>
            <w:r>
              <w:t>ROнпа</w:t>
            </w:r>
            <w:proofErr w:type="spellEnd"/>
            <w:r>
              <w:t xml:space="preserve"> - количество принятых нормативных правовых актов, устанавливающих расходное обязательство, средства на исполнение которого предусматриваются проектами решений о внесении изменений в решение о бюджете;</w:t>
            </w:r>
            <w:r>
              <w:br/>
              <w:t xml:space="preserve">RO - общее количество нормативных правовых актов, принятие которых  необходимо  для исполнения расходных обязательств, средства на исполнение которого предусматриваются проектами решений о внесении изменений в решение о бюджете за отчетный период </w:t>
            </w:r>
            <w:r>
              <w:br/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100%;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286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lastRenderedPageBreak/>
              <w:t>1.3.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 xml:space="preserve">. Отклонение первоначального плана </w:t>
            </w:r>
            <w:r>
              <w:br/>
              <w:t xml:space="preserve">по расходам </w:t>
            </w:r>
            <w:r>
              <w:br/>
              <w:t xml:space="preserve">от уточненного плана </w:t>
            </w:r>
            <w:r>
              <w:br/>
              <w:t xml:space="preserve">(за исключением изменений, связанных с внесением изменений в решение о бюджете, поступлением </w:t>
            </w:r>
            <w: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= 100 – ((R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/ R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>) × 100)(%),</w:t>
            </w:r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R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&lt; R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= 100 × (R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/ R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>) – 100)(%),</w:t>
            </w:r>
            <w:proofErr w:type="gramEnd"/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R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˃ R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</w:t>
            </w:r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>
              <w:rPr>
                <w:rFonts w:ascii="Times New Roman" w:hAnsi="Times New Roman"/>
                <w:sz w:val="24"/>
              </w:rPr>
              <w:br/>
              <w:t>R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:rsidR="001F0ED7" w:rsidRDefault="003E6C81">
            <w:pPr>
              <w:pStyle w:val="ConsPlusNormal"/>
              <w:spacing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план </w:t>
            </w:r>
            <w:r>
              <w:rPr>
                <w:rFonts w:ascii="Times New Roman" w:hAnsi="Times New Roman"/>
                <w:sz w:val="24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:rsidR="001F0ED7" w:rsidRDefault="003E6C81">
            <w:pPr>
              <w:pStyle w:val="ConsPlusNormal"/>
              <w:spacing w:after="40"/>
            </w:pPr>
            <w:r>
              <w:rPr>
                <w:rFonts w:ascii="Times New Roman" w:hAnsi="Times New Roman"/>
                <w:sz w:val="24"/>
              </w:rPr>
              <w:t xml:space="preserve">В расчетах учитывается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в большую, так и в меньшую сторону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5 % &lt; Р</w:t>
            </w:r>
            <w:r>
              <w:rPr>
                <w:vertAlign w:val="subscript"/>
              </w:rPr>
              <w:t>3</w:t>
            </w:r>
            <w:r>
              <w:t xml:space="preserve"> ≤ 8 %;</w:t>
            </w:r>
          </w:p>
          <w:p w:rsidR="001F0ED7" w:rsidRDefault="001F0ED7">
            <w:pPr>
              <w:spacing w:after="40" w:line="240" w:lineRule="exact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4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233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1.4.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keepNext/>
              <w:spacing w:after="180"/>
              <w:outlineLvl w:val="2"/>
              <w:rPr>
                <w:b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>. Своевременность предоставления в отчетном году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= Q (раз),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Q - случаи несвоевременного предоставления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vertAlign w:val="subscript"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= 0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185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1.5.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keepNext/>
              <w:spacing w:after="180"/>
              <w:outlineLvl w:val="2"/>
            </w:pPr>
            <w:r>
              <w:t>Р</w:t>
            </w:r>
            <w:r>
              <w:rPr>
                <w:vertAlign w:val="subscript"/>
              </w:rPr>
              <w:t>5</w:t>
            </w:r>
            <w:r>
              <w:t>. 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5</w:t>
            </w:r>
            <w:r>
              <w:t>=Q (раз),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r>
              <w:t>Q - случаи несвоевременного предоставления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 xml:space="preserve">5 </w:t>
            </w:r>
            <w:r>
              <w:t>= 0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1.6.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. Количество поправок, вносимых в решение  о бюджете в течение  текущего финансового года, разработанных в рамках компетенции ГРБС (за исключением изменений, связанных с поступлением </w:t>
            </w:r>
            <w: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6</w:t>
            </w:r>
            <w:r>
              <w:t xml:space="preserve"> = К / (1 + </w:t>
            </w: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+ </w:t>
            </w: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proofErr w:type="gramStart"/>
            <w:r>
              <w:t>)(</w:t>
            </w:r>
            <w:proofErr w:type="spellStart"/>
            <w:proofErr w:type="gramEnd"/>
            <w:r>
              <w:t>шт</w:t>
            </w:r>
            <w:proofErr w:type="spellEnd"/>
            <w:r>
              <w:t>)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r>
              <w:t>Р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 xml:space="preserve">– количество поправок, вносимых в решение  о бюджете в течение  текущего финансового года, разработанных в рамках компетенции ГРБС, в расчете </w:t>
            </w:r>
            <w:r>
              <w:br/>
              <w:t>на 1 получателя за отчетный период;</w:t>
            </w:r>
          </w:p>
          <w:p w:rsidR="001F0ED7" w:rsidRDefault="003E6C81">
            <w:pPr>
              <w:spacing w:after="40" w:line="240" w:lineRule="exact"/>
            </w:pPr>
            <w:proofErr w:type="gramStart"/>
            <w:r>
              <w:t>К</w:t>
            </w:r>
            <w:proofErr w:type="gramEnd"/>
            <w:r>
              <w:t xml:space="preserve"> – </w:t>
            </w:r>
            <w:proofErr w:type="gramStart"/>
            <w:r>
              <w:t>количество</w:t>
            </w:r>
            <w:proofErr w:type="gramEnd"/>
            <w:r>
              <w:t xml:space="preserve"> поправок, вносимых в решение  о бюджете в течение  текущего финансового года, разработанных в рамках компетенции ГРБС;</w:t>
            </w:r>
          </w:p>
          <w:p w:rsidR="001F0ED7" w:rsidRDefault="003E6C81">
            <w:pPr>
              <w:spacing w:after="40" w:line="240" w:lineRule="exact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пбс</w:t>
            </w:r>
            <w:proofErr w:type="spellEnd"/>
            <w:r>
              <w:t xml:space="preserve"> – среднее за период количество подведомственных ГРБС получателей средств бюджета;</w:t>
            </w:r>
          </w:p>
          <w:p w:rsidR="001F0ED7" w:rsidRDefault="003E6C81">
            <w:pPr>
              <w:spacing w:after="40" w:line="240" w:lineRule="exact"/>
            </w:pP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гз</w:t>
            </w:r>
            <w:proofErr w:type="spellEnd"/>
            <w: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t xml:space="preserve"> = (</w:t>
            </w: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</w:t>
            </w:r>
            <w:proofErr w:type="spellStart"/>
            <w:r>
              <w:t>N</w:t>
            </w:r>
            <w:r>
              <w:rPr>
                <w:vertAlign w:val="subscript"/>
              </w:rPr>
              <w:t>пбс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>) / 2,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пб</w:t>
            </w:r>
            <w:proofErr w:type="gramStart"/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 xml:space="preserve">) </w:t>
            </w:r>
            <w:r>
              <w:t>– количество подведомственных ГРБС получателей средств бюджета на конец отчетного периода.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= (</w:t>
            </w: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+ </w:t>
            </w:r>
            <w:proofErr w:type="spellStart"/>
            <w:r>
              <w:t>N</w:t>
            </w:r>
            <w:r>
              <w:rPr>
                <w:vertAlign w:val="subscript"/>
              </w:rPr>
              <w:t>гз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>) / 2,</w:t>
            </w:r>
          </w:p>
          <w:p w:rsidR="001F0ED7" w:rsidRDefault="003E6C81">
            <w:pPr>
              <w:spacing w:after="40" w:line="240" w:lineRule="exact"/>
            </w:pPr>
            <w:r>
              <w:t>где</w:t>
            </w:r>
          </w:p>
          <w:p w:rsidR="001F0ED7" w:rsidRDefault="003E6C81">
            <w:pPr>
              <w:spacing w:after="40" w:line="240" w:lineRule="exact"/>
            </w:pP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нп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r>
              <w:t>N</w:t>
            </w:r>
            <w:r>
              <w:rPr>
                <w:vertAlign w:val="subscript"/>
              </w:rPr>
              <w:t>г</w:t>
            </w:r>
            <w:proofErr w:type="gramStart"/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кп</w:t>
            </w:r>
            <w:proofErr w:type="spellEnd"/>
            <w:r>
              <w:rPr>
                <w:vertAlign w:val="subscript"/>
              </w:rPr>
              <w:t>)</w:t>
            </w:r>
            <w: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proofErr w:type="gramStart"/>
            <w:r>
              <w:t>Р</w:t>
            </w:r>
            <w:proofErr w:type="gramEnd"/>
            <w:r>
              <w:t xml:space="preserve"> = 5, если Р</w:t>
            </w:r>
            <w:r>
              <w:rPr>
                <w:vertAlign w:val="subscript"/>
              </w:rPr>
              <w:t>6</w:t>
            </w:r>
            <w:r>
              <w:t xml:space="preserve"> ≤4 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after="40"/>
              <w:ind w:left="85"/>
            </w:pPr>
            <w:r>
              <w:t>5</w:t>
            </w:r>
          </w:p>
          <w:p w:rsidR="001F0ED7" w:rsidRDefault="001F0ED7">
            <w:pPr>
              <w:spacing w:after="40"/>
              <w:ind w:left="85"/>
            </w:pPr>
          </w:p>
        </w:tc>
      </w:tr>
      <w:tr w:rsidR="001F0ED7">
        <w:trPr>
          <w:trHeight w:val="171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1.7.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b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>
              <w:t xml:space="preserve">. </w:t>
            </w:r>
            <w:proofErr w:type="gramStart"/>
            <w: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  <w:proofErr w:type="gramEnd"/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 xml:space="preserve">P </w:t>
            </w:r>
            <w:r>
              <w:rPr>
                <w:vertAlign w:val="subscript"/>
              </w:rPr>
              <w:t>7</w:t>
            </w:r>
            <w:proofErr w:type="gramStart"/>
            <w:r>
              <w:rPr>
                <w:vertAlign w:val="subscript"/>
              </w:rPr>
              <w:t xml:space="preserve"> </w:t>
            </w:r>
            <w:r>
              <w:t>= К</w:t>
            </w:r>
            <w:proofErr w:type="gramEnd"/>
            <w:r>
              <w:t xml:space="preserve"> / </w:t>
            </w:r>
            <w:proofErr w:type="spellStart"/>
            <w:r>
              <w:t>Кмп</w:t>
            </w:r>
            <w:proofErr w:type="spellEnd"/>
            <w:r>
              <w:t xml:space="preserve"> x 100 (%),</w:t>
            </w:r>
            <w:r>
              <w:br/>
              <w:t>где</w:t>
            </w:r>
            <w:r>
              <w:br/>
              <w:t>P</w:t>
            </w:r>
            <w:r>
              <w:rPr>
                <w:vertAlign w:val="subscript"/>
              </w:rPr>
              <w:t>7</w:t>
            </w:r>
            <w: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>
              <w:br/>
            </w:r>
            <w:proofErr w:type="gramStart"/>
            <w:r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администрации);</w:t>
            </w:r>
            <w:proofErr w:type="gramEnd"/>
            <w:r>
              <w:br/>
              <w:t xml:space="preserve"> </w:t>
            </w:r>
            <w:proofErr w:type="spellStart"/>
            <w:r>
              <w:t>Кмп</w:t>
            </w:r>
            <w:proofErr w:type="spellEnd"/>
            <w:r>
              <w:t xml:space="preserve"> - общее количество муниципальных  программ, исполнителями которых являются ГРБС и расходы на реализацию которых осуществлялись в отчетном финансовом году.</w:t>
            </w:r>
            <w:r>
              <w:br/>
              <w:t xml:space="preserve">При расчете значения показателя учитывается </w:t>
            </w:r>
            <w:proofErr w:type="gramStart"/>
            <w:r>
              <w:t>отклонение</w:t>
            </w:r>
            <w:proofErr w:type="gramEnd"/>
            <w:r>
              <w:t xml:space="preserve"> как в меньшую, так и в большую сторону от значения, утвержденного по состоянию на 1 января отчетного года.</w:t>
            </w:r>
            <w: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>7</w:t>
            </w:r>
            <w:r>
              <w:t xml:space="preserve"> &lt;= 5%;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2.</w:t>
            </w:r>
          </w:p>
        </w:tc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 xml:space="preserve">Исполнение бюджета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0ED7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2.1.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 xml:space="preserve">. Своевременность исполнения расходных полномочий ГРБС в отчетном финансовом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>8</w:t>
            </w:r>
            <w:proofErr w:type="gramStart"/>
            <w:r>
              <w:t xml:space="preserve"> = К</w:t>
            </w:r>
            <w:proofErr w:type="gramEnd"/>
            <w:r>
              <w:t xml:space="preserve">о / </w:t>
            </w:r>
            <w:proofErr w:type="spellStart"/>
            <w:r>
              <w:t>Кп</w:t>
            </w:r>
            <w:proofErr w:type="spellEnd"/>
            <w:r>
              <w:t xml:space="preserve"> x 100 (%),</w:t>
            </w:r>
            <w:r>
              <w:br/>
              <w:t>где:</w:t>
            </w:r>
          </w:p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>8</w:t>
            </w:r>
            <w: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>
              <w:br/>
            </w:r>
            <w:proofErr w:type="gramStart"/>
            <w:r>
              <w:t>Ко</w:t>
            </w:r>
            <w:proofErr w:type="gramEnd"/>
            <w:r>
              <w:t xml:space="preserve">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>
              <w:br/>
            </w:r>
            <w:proofErr w:type="spellStart"/>
            <w:r>
              <w:t>К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объем бюджетных ассигнований ГРБС на отчетный  финансовый год согласно кассовому плану с учетом изменений (за исключением межбюджетных трансфертов, поступивших после 20 декабря отчетного финансового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 xml:space="preserve">8  </w:t>
            </w:r>
            <w:r>
              <w:rPr>
                <w:rFonts w:ascii="Calibri" w:hAnsi="Calibri"/>
              </w:rPr>
              <w:t>&lt; 2</w:t>
            </w:r>
            <w:r>
              <w:t>5%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4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2.2.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>9</w:t>
            </w:r>
            <w:r>
              <w:t xml:space="preserve"> = </w:t>
            </w: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x 100 (%),</w:t>
            </w:r>
            <w:r>
              <w:br/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– кассовые расходы ГРБС в отчетном году (без учета межбюджетных трансфертов) (тыс. рублей);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95% ≤ P</w:t>
            </w:r>
            <w:r>
              <w:rPr>
                <w:vertAlign w:val="subscript"/>
              </w:rPr>
              <w:t>9</w:t>
            </w:r>
            <w:r>
              <w:t>≤ 100%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123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2.3.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10</w:t>
            </w:r>
            <w: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</w:t>
            </w:r>
            <w:r>
              <w:lastRenderedPageBreak/>
              <w:t xml:space="preserve">санкционирования расходов за счет средств бюджета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P</w:t>
            </w:r>
            <w:r>
              <w:rPr>
                <w:vertAlign w:val="subscript"/>
              </w:rPr>
              <w:t>10</w:t>
            </w:r>
            <w:r>
              <w:t xml:space="preserve"> = К</w:t>
            </w:r>
            <w:r>
              <w:rPr>
                <w:vertAlign w:val="subscript"/>
              </w:rPr>
              <w:t>оз</w:t>
            </w:r>
            <w:r>
              <w:t xml:space="preserve"> / Q x 100 (%),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r>
              <w:t>Коз – количество возвращенных комитетом финансов заявок на оплату расходов ГРБС и подведомственных ему муниципальных  учреждений в отчетном году, при осуществлении процедуры санкционирования расходов за счет средств бюджета;</w:t>
            </w:r>
          </w:p>
          <w:p w:rsidR="001F0ED7" w:rsidRDefault="003E6C81">
            <w:pPr>
              <w:spacing w:before="40" w:after="40"/>
              <w:ind w:left="85"/>
            </w:pPr>
            <w:r>
              <w:lastRenderedPageBreak/>
              <w:t xml:space="preserve">Q – общее количество представленных в комитет финансов заявок на оплату расходов ГРБС и подведомственных ему муниципальных  учреждений, в отчетном году.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10% ≤ P</w:t>
            </w:r>
            <w:r>
              <w:rPr>
                <w:vertAlign w:val="subscript"/>
              </w:rPr>
              <w:t xml:space="preserve">10 </w:t>
            </w:r>
            <w:r>
              <w:t>&lt; 5%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3.</w:t>
            </w:r>
          </w:p>
        </w:tc>
        <w:tc>
          <w:tcPr>
            <w:tcW w:w="118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F0ED7" w:rsidRDefault="003E6C81">
            <w:pPr>
              <w:spacing w:before="40" w:after="40"/>
              <w:ind w:left="85"/>
            </w:pPr>
            <w:r>
              <w:t xml:space="preserve">Учет и отчетность </w:t>
            </w: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F0ED7">
        <w:trPr>
          <w:trHeight w:val="1906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>11</w:t>
            </w:r>
            <w:r>
              <w:t xml:space="preserve">. 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 xml:space="preserve">11 = </w:t>
            </w:r>
            <w:proofErr w:type="gramStart"/>
            <w:r>
              <w:t>(</w:t>
            </w:r>
            <w:r>
              <w:rPr>
                <w:vertAlign w:val="subscript"/>
              </w:rPr>
              <w:t xml:space="preserve"> </w:t>
            </w:r>
            <w:proofErr w:type="spellStart"/>
            <w:proofErr w:type="gramEnd"/>
            <w:r>
              <w:t>V</w:t>
            </w:r>
            <w:r>
              <w:rPr>
                <w:vertAlign w:val="subscript"/>
              </w:rPr>
              <w:t>k</w:t>
            </w:r>
            <w:proofErr w:type="spellEnd"/>
            <w:r>
              <w:t>/ V*100%) - 100% (%),</w:t>
            </w:r>
            <w:r>
              <w:br/>
              <w:t>где:</w:t>
            </w:r>
            <w:r>
              <w:br/>
            </w:r>
            <w:proofErr w:type="gramStart"/>
            <w:r>
              <w:t>P</w:t>
            </w:r>
            <w:r>
              <w:rPr>
                <w:vertAlign w:val="subscript"/>
              </w:rPr>
              <w:t xml:space="preserve">11 </w:t>
            </w:r>
            <w:r>
              <w:t>- относительный рост (снижение) просроченной кредиторской задолженности ГРБС и муниципальных учреждений, подведомственных ГРБС в отчетном периоде;</w:t>
            </w:r>
            <w:r>
              <w:br/>
            </w:r>
            <w:proofErr w:type="spellStart"/>
            <w:r>
              <w:t>V</w:t>
            </w:r>
            <w:r>
              <w:rPr>
                <w:vertAlign w:val="subscript"/>
              </w:rPr>
              <w:t>k</w:t>
            </w:r>
            <w:proofErr w:type="spellEnd"/>
            <w:r>
              <w:t xml:space="preserve"> - объем просроченной кредиторской задолженности ГРБС и муниципальных учреждений, подведомственных ГРБС по состоянию на конец отчетного периода (тыс. рублей);</w:t>
            </w:r>
            <w:r>
              <w:br/>
              <w:t>V- объем просроченной кредиторской задолженности ГРБС и муниципальных учреждений, подведомственных ГРБС по состоянию на начало отчетного года (тыс. рублей)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/>
            </w:pPr>
            <w:r>
              <w:t>P</w:t>
            </w:r>
            <w:r>
              <w:rPr>
                <w:vertAlign w:val="subscript"/>
              </w:rPr>
              <w:t>11</w:t>
            </w:r>
            <w:r>
              <w:t xml:space="preserve"> ≥ - 75%; </w:t>
            </w:r>
            <w:r>
              <w:br/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after="40"/>
              <w:ind w:left="85"/>
            </w:pPr>
            <w:r>
              <w:t>5</w:t>
            </w:r>
          </w:p>
          <w:p w:rsidR="001F0ED7" w:rsidRDefault="001F0ED7">
            <w:pPr>
              <w:spacing w:before="40" w:after="40"/>
              <w:ind w:left="85"/>
            </w:pPr>
          </w:p>
          <w:p w:rsidR="001F0ED7" w:rsidRDefault="001F0ED7">
            <w:pPr>
              <w:spacing w:before="40" w:after="40"/>
              <w:ind w:left="85"/>
            </w:pPr>
          </w:p>
          <w:p w:rsidR="001F0ED7" w:rsidRDefault="001F0ED7">
            <w:pPr>
              <w:spacing w:before="40" w:after="40"/>
              <w:ind w:left="85"/>
            </w:pP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211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12</w:t>
            </w:r>
            <w:r>
              <w:t>. Отношение просроченной кредиторской задолженности ГРБС и подведомственных им муниципальных учреждений к объему бюджетных расходов ГРБС в отчетном году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12=</w:t>
            </w:r>
            <w:r>
              <w:t xml:space="preserve"> </w:t>
            </w:r>
            <w:proofErr w:type="spellStart"/>
            <w:r>
              <w:t>V</w:t>
            </w:r>
            <w:r>
              <w:rPr>
                <w:vertAlign w:val="subscript"/>
              </w:rPr>
              <w:t>pk</w:t>
            </w:r>
            <w:proofErr w:type="spellEnd"/>
            <w:r>
              <w:t>/</w:t>
            </w:r>
            <w:proofErr w:type="spellStart"/>
            <w:r>
              <w:t>V</w:t>
            </w:r>
            <w:r>
              <w:rPr>
                <w:vertAlign w:val="subscript"/>
              </w:rPr>
              <w:t>ba</w:t>
            </w:r>
            <w:proofErr w:type="spellEnd"/>
            <w:r>
              <w:t>*100 (%),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pk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– объем просроченной кредиторской задолженности ГРБС и подведомственных им муниципальных учреждений (без учета </w:t>
            </w:r>
            <w:proofErr w:type="spellStart"/>
            <w:r>
              <w:t>судебно</w:t>
            </w:r>
            <w:proofErr w:type="spellEnd"/>
            <w:r>
              <w:t xml:space="preserve"> оспариваемой задолженности) по состоянию на конец отчетного года (тыс. рублей);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ba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объем бюджетных расходов ГРБС в отчетном году (тыс. рублей).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 xml:space="preserve">12 </w:t>
            </w:r>
            <w:r>
              <w:t>= 0%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201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3.3.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13</w:t>
            </w:r>
            <w: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13 =</w:t>
            </w:r>
            <w:r>
              <w:t xml:space="preserve"> </w:t>
            </w:r>
            <w:proofErr w:type="spellStart"/>
            <w:r>
              <w:t>V</w:t>
            </w:r>
            <w:r>
              <w:rPr>
                <w:vertAlign w:val="subscript"/>
              </w:rPr>
              <w:t>kz</w:t>
            </w:r>
            <w:proofErr w:type="spellEnd"/>
            <w:r>
              <w:t>/</w:t>
            </w:r>
            <w:proofErr w:type="spellStart"/>
            <w:r>
              <w:t>V</w:t>
            </w:r>
            <w:r>
              <w:rPr>
                <w:vertAlign w:val="subscript"/>
              </w:rPr>
              <w:t>ba</w:t>
            </w:r>
            <w:proofErr w:type="spellEnd"/>
            <w:r>
              <w:t>*100 (%)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kz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 объем кредиторской задолженности ГРБС и подведомственных им муниципальных  учреждений по состоянию на конец отчетного года (тыс. рублей);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r>
              <w:t>V</w:t>
            </w:r>
            <w:r>
              <w:rPr>
                <w:vertAlign w:val="subscript"/>
              </w:rPr>
              <w:t>ba</w:t>
            </w:r>
            <w:proofErr w:type="spellEnd"/>
            <w:r>
              <w:t xml:space="preserve"> – объем бюджетных расходов ГРБС в отчетном году  (тыс. рублей).  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 xml:space="preserve">13 </w:t>
            </w:r>
            <w:r>
              <w:t>≤ 5%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177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3.4.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15</w:t>
            </w:r>
            <w: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  <w:p w:rsidR="001F0ED7" w:rsidRDefault="001F0ED7">
            <w:pPr>
              <w:spacing w:before="40" w:after="40"/>
              <w:ind w:left="85"/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 xml:space="preserve">15 </w:t>
            </w:r>
            <w:r>
              <w:t>= Q (раз),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Q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 xml:space="preserve">15 </w:t>
            </w:r>
            <w:r>
              <w:t>= 0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168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3.5.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16</w:t>
            </w:r>
            <w: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 xml:space="preserve">16 </w:t>
            </w:r>
            <w:r>
              <w:t>= Q (раз),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r>
              <w:t>Q - случаи несвоевременного предоставления годовой отчетности об исполнении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 xml:space="preserve">16 </w:t>
            </w:r>
            <w:r>
              <w:t>= 0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3.6.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17</w:t>
            </w:r>
            <w: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t>Р</w:t>
            </w:r>
            <w:r>
              <w:rPr>
                <w:vertAlign w:val="subscript"/>
              </w:rPr>
              <w:t>17</w:t>
            </w:r>
            <w:r>
              <w:t xml:space="preserve"> = </w:t>
            </w:r>
            <w:proofErr w:type="spellStart"/>
            <w:r>
              <w:t>F</w:t>
            </w:r>
            <w:r>
              <w:rPr>
                <w:vertAlign w:val="subscript"/>
              </w:rPr>
              <w:t>wer</w:t>
            </w:r>
            <w:proofErr w:type="spellEnd"/>
            <w:r>
              <w:t xml:space="preserve"> / F × 100 (%),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r>
              <w:t>F</w:t>
            </w:r>
            <w:r>
              <w:rPr>
                <w:vertAlign w:val="subscript"/>
              </w:rPr>
              <w:t>wer</w:t>
            </w:r>
            <w:proofErr w:type="spellEnd"/>
            <w: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:rsidR="001F0ED7" w:rsidRDefault="003E6C81">
            <w:pPr>
              <w:spacing w:before="40" w:after="40"/>
              <w:ind w:left="85"/>
            </w:pPr>
            <w:r>
              <w:t>F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90% ≤ P</w:t>
            </w:r>
            <w:r>
              <w:rPr>
                <w:vertAlign w:val="subscript"/>
              </w:rPr>
              <w:t xml:space="preserve">17 </w:t>
            </w:r>
            <w:r>
              <w:t>&lt; 100%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1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5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4.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Эффективность судебной защиты и своевременность исполнения судебных актов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F0ED7">
        <w:trPr>
          <w:trHeight w:val="242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4.1.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>18</w:t>
            </w:r>
            <w:r>
              <w:t xml:space="preserve">. Доля судебных решений, предусматривающих обращение взыскания на средства местного бюджета, 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</w:t>
            </w:r>
          </w:p>
          <w:p w:rsidR="001F0ED7" w:rsidRDefault="003E6C81">
            <w:pPr>
              <w:spacing w:before="40" w:after="40"/>
              <w:ind w:left="85"/>
            </w:pPr>
            <w:r>
              <w:t xml:space="preserve">их должностных лиц 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1F0ED7">
            <w:pPr>
              <w:spacing w:after="40" w:line="240" w:lineRule="exact"/>
              <w:jc w:val="both"/>
            </w:pPr>
          </w:p>
          <w:p w:rsidR="001F0ED7" w:rsidRDefault="003E6C81">
            <w:pPr>
              <w:spacing w:after="40" w:line="240" w:lineRule="exact"/>
              <w:jc w:val="both"/>
            </w:pPr>
            <w:r>
              <w:t>Р</w:t>
            </w:r>
            <w:r>
              <w:rPr>
                <w:vertAlign w:val="subscript"/>
              </w:rPr>
              <w:t>18</w:t>
            </w:r>
            <w:r>
              <w:t xml:space="preserve"> = </w:t>
            </w: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уд</w:t>
            </w:r>
            <w:proofErr w:type="spellEnd"/>
            <w:r>
              <w:t xml:space="preserve"> / Q × 100 (%),</w:t>
            </w:r>
          </w:p>
          <w:p w:rsidR="001F0ED7" w:rsidRDefault="003E6C81">
            <w:pPr>
              <w:spacing w:before="40" w:after="40"/>
              <w:ind w:left="85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</w:pP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уд</w:t>
            </w:r>
            <w:proofErr w:type="spellEnd"/>
            <w:r>
              <w:t xml:space="preserve"> – количество судебных решений, предусматривающих обращение взыскания на средства местного бюджета,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лиц;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Q (раз),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Q – количество судебных решений, предусматривающих обращение взыскания на средства местного бюджета, вступивших в законную силу в отчетном году по исковым требованиям о возмещении ущерба от незаконных действий или бездействия ГРБС или их должностных лиц.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 xml:space="preserve">18 </w:t>
            </w:r>
            <w:r>
              <w:t xml:space="preserve">= 0% (или </w:t>
            </w: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уд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= Q = 0)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384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4.2.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>19</w:t>
            </w:r>
            <w:r>
              <w:t xml:space="preserve">. Своевременность исполнения судебных актов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jc w:val="both"/>
            </w:pPr>
            <w:r>
              <w:t>P</w:t>
            </w:r>
            <w:r>
              <w:rPr>
                <w:vertAlign w:val="subscript"/>
              </w:rPr>
              <w:t>19 =</w:t>
            </w:r>
            <w:r>
              <w:t xml:space="preserve"> Q (раз),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 xml:space="preserve">Q - количество направленных комитетом финансов уведомлений о приостановлении операций по расходованию средств на лицевых счетах, открытых в комитете финансов, в связи с нарушением процедур исполнения судебных актов, предусматривающих обращение взыскания на средства местного бюджета муниципального образования в отчетном периоде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P</w:t>
            </w:r>
            <w:r>
              <w:rPr>
                <w:vertAlign w:val="subscript"/>
              </w:rPr>
              <w:t xml:space="preserve">19 </w:t>
            </w:r>
            <w:r>
              <w:t>= 0;</w:t>
            </w:r>
            <w:r>
              <w:br/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525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5.</w:t>
            </w:r>
          </w:p>
        </w:tc>
        <w:tc>
          <w:tcPr>
            <w:tcW w:w="1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Контроль и аудит</w:t>
            </w: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0ED7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5.1.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20</w:t>
            </w:r>
            <w:r>
              <w:t>. Степень выполнения годового плана внутреннему финансовому аудиту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t>Р</w:t>
            </w:r>
            <w:r>
              <w:rPr>
                <w:vertAlign w:val="subscript"/>
              </w:rPr>
              <w:t>21</w:t>
            </w:r>
            <w:r>
              <w:t xml:space="preserve"> = </w:t>
            </w:r>
            <w:proofErr w:type="spellStart"/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факт</w:t>
            </w:r>
            <w:proofErr w:type="spellEnd"/>
            <w:r>
              <w:t xml:space="preserve"> / </w:t>
            </w:r>
            <w:proofErr w:type="spellStart"/>
            <w:r>
              <w:t>N</w:t>
            </w:r>
            <w:r>
              <w:rPr>
                <w:vertAlign w:val="subscript"/>
              </w:rPr>
              <w:t>план</w:t>
            </w:r>
            <w:proofErr w:type="spellEnd"/>
            <w:r>
              <w:t xml:space="preserve"> × 100 (%),</w:t>
            </w:r>
          </w:p>
          <w:p w:rsidR="001F0ED7" w:rsidRDefault="003E6C81">
            <w:pPr>
              <w:spacing w:after="40" w:line="240" w:lineRule="exact"/>
              <w:jc w:val="both"/>
            </w:pPr>
            <w:r>
              <w:t>где:</w:t>
            </w:r>
          </w:p>
          <w:p w:rsidR="001F0ED7" w:rsidRDefault="003E6C81">
            <w:pPr>
              <w:spacing w:after="40" w:line="240" w:lineRule="exact"/>
              <w:jc w:val="both"/>
            </w:pPr>
            <w:proofErr w:type="spellStart"/>
            <w:proofErr w:type="gramStart"/>
            <w:r>
              <w:t>N</w:t>
            </w:r>
            <w:proofErr w:type="gramEnd"/>
            <w:r>
              <w:t>факт</w:t>
            </w:r>
            <w:proofErr w:type="spellEnd"/>
            <w:r>
              <w:t xml:space="preserve"> – количество проведенных ГРБС плановых проверок  по внутреннему финансовому контролю и внутреннему финансовому аудиту в отчетном финансовом году; </w:t>
            </w:r>
          </w:p>
          <w:p w:rsidR="001F0ED7" w:rsidRDefault="003E6C81">
            <w:pPr>
              <w:spacing w:after="40" w:line="240" w:lineRule="exact"/>
              <w:jc w:val="both"/>
            </w:pPr>
            <w:proofErr w:type="spellStart"/>
            <w:proofErr w:type="gramStart"/>
            <w:r>
              <w:t>N</w:t>
            </w:r>
            <w:proofErr w:type="gramEnd"/>
            <w:r>
              <w:t>план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– количество проверок ГРБС, запланированных в годовом плане  по внутреннему финансовому контролю и внутреннему финансовому аудиту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100 % ˃ Р</w:t>
            </w:r>
            <w:r>
              <w:rPr>
                <w:vertAlign w:val="subscript"/>
              </w:rPr>
              <w:t>21</w:t>
            </w:r>
            <w:r>
              <w:t xml:space="preserve"> ≥ 80 %;</w:t>
            </w:r>
          </w:p>
          <w:p w:rsidR="001F0ED7" w:rsidRDefault="001F0ED7">
            <w:pPr>
              <w:spacing w:after="40" w:line="240" w:lineRule="exact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after="40"/>
              <w:ind w:left="85"/>
            </w:pPr>
            <w:r>
              <w:t>2</w:t>
            </w:r>
          </w:p>
          <w:p w:rsidR="001F0ED7" w:rsidRDefault="001F0ED7">
            <w:pPr>
              <w:spacing w:after="40"/>
              <w:ind w:left="85"/>
            </w:pPr>
          </w:p>
        </w:tc>
      </w:tr>
      <w:tr w:rsidR="001F0ED7">
        <w:trPr>
          <w:trHeight w:val="170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21</w:t>
            </w:r>
            <w:r>
              <w:t xml:space="preserve">. Эффективность системы внутреннего финансового аудита ГРБС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jc w:val="both"/>
            </w:pPr>
            <w:r>
              <w:t>Р</w:t>
            </w:r>
            <w:r>
              <w:rPr>
                <w:vertAlign w:val="subscript"/>
              </w:rPr>
              <w:t xml:space="preserve">22 </w:t>
            </w:r>
            <w:r>
              <w:t>= Q (раз),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spacing w:after="40" w:line="240" w:lineRule="exact"/>
            </w:pPr>
            <w:r>
              <w:t xml:space="preserve">Q – количество нарушений, выявленных ГРБС в ходе проведения внутреннего финансового аудита в отчетном финансовом году </w:t>
            </w:r>
            <w:proofErr w:type="gramStart"/>
            <w:r>
              <w:t xml:space="preserve">( </w:t>
            </w:r>
            <w:proofErr w:type="gramEnd"/>
            <w:r>
              <w:t>при выполнении годового плана, указанного в п. 5.1, на 0% применяется оценка показателя 0 баллов)</w:t>
            </w:r>
          </w:p>
          <w:p w:rsidR="001F0ED7" w:rsidRDefault="001F0ED7">
            <w:pPr>
              <w:spacing w:after="40" w:line="240" w:lineRule="exact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</w:pPr>
            <w:r>
              <w:t>Р</w:t>
            </w:r>
            <w:r>
              <w:rPr>
                <w:vertAlign w:val="subscript"/>
              </w:rPr>
              <w:t>22</w:t>
            </w:r>
            <w:r>
              <w:t xml:space="preserve"> = 0;</w:t>
            </w:r>
          </w:p>
          <w:p w:rsidR="001F0ED7" w:rsidRDefault="001F0ED7">
            <w:pPr>
              <w:spacing w:after="40" w:line="240" w:lineRule="exact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951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5.3.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keepNext/>
              <w:keepLines/>
              <w:spacing w:before="40" w:after="40"/>
              <w:ind w:left="85"/>
              <w:rPr>
                <w:b/>
              </w:rPr>
            </w:pPr>
            <w:r>
              <w:t>Р</w:t>
            </w:r>
            <w:r>
              <w:rPr>
                <w:vertAlign w:val="subscript"/>
              </w:rPr>
              <w:t>22</w:t>
            </w:r>
            <w: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  <w:jc w:val="both"/>
            </w:pPr>
            <w:r>
              <w:t>Р</w:t>
            </w:r>
            <w:r>
              <w:rPr>
                <w:vertAlign w:val="subscript"/>
              </w:rPr>
              <w:t xml:space="preserve">23 </w:t>
            </w:r>
            <w:r>
              <w:t>= Q (раз),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keepNext/>
              <w:keepLines/>
              <w:spacing w:before="40" w:after="40"/>
              <w:ind w:left="85"/>
              <w:jc w:val="both"/>
            </w:pPr>
            <w:r>
              <w:t>Q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keepNext/>
              <w:spacing w:before="40" w:after="40"/>
              <w:ind w:left="85"/>
            </w:pPr>
            <w:r>
              <w:t>Р</w:t>
            </w:r>
            <w:r>
              <w:rPr>
                <w:vertAlign w:val="subscript"/>
              </w:rPr>
              <w:t xml:space="preserve">23 </w:t>
            </w:r>
            <w:r>
              <w:t>= 0</w:t>
            </w:r>
          </w:p>
          <w:p w:rsidR="001F0ED7" w:rsidRDefault="001F0ED7">
            <w:pPr>
              <w:keepNext/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keepNext/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keepNext/>
              <w:spacing w:before="40" w:after="40"/>
              <w:ind w:left="85"/>
            </w:pPr>
          </w:p>
        </w:tc>
      </w:tr>
      <w:tr w:rsidR="001F0ED7">
        <w:trPr>
          <w:trHeight w:val="667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6.</w:t>
            </w:r>
          </w:p>
        </w:tc>
        <w:tc>
          <w:tcPr>
            <w:tcW w:w="136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keepNext/>
              <w:spacing w:before="40" w:after="40"/>
              <w:ind w:left="85"/>
            </w:pPr>
            <w:r>
              <w:t xml:space="preserve">Обеспечение публичности и открытости информации о бюджете                                                                                               </w:t>
            </w:r>
            <w:r>
              <w:rPr>
                <w:b/>
              </w:rPr>
              <w:t>6</w:t>
            </w:r>
          </w:p>
        </w:tc>
      </w:tr>
      <w:tr w:rsidR="001F0ED7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lastRenderedPageBreak/>
              <w:t>6.1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>23</w:t>
            </w:r>
            <w:r>
              <w:t xml:space="preserve">. Доля муниципальных учреждений, подведомственных ГРБС, информация о плановой и фактической деятельности которых за отчетный финансовый год размещена в сети Интернет (в соответствии с требованиями </w:t>
            </w:r>
            <w:hyperlink r:id="rId5" w:history="1">
              <w:r>
                <w:rPr>
                  <w:rStyle w:val="a3"/>
                  <w:color w:val="000000"/>
                  <w:u w:val="none"/>
                </w:rPr>
                <w:t>приказа Министерства финансов Российской Федерации от 21 июля 2011 г. № 86н</w:t>
              </w:r>
            </w:hyperlink>
            <w:r>
              <w:t>)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t>Р</w:t>
            </w:r>
            <w:r>
              <w:rPr>
                <w:vertAlign w:val="subscript"/>
              </w:rPr>
              <w:t xml:space="preserve">24 </w:t>
            </w:r>
            <w:r>
              <w:t xml:space="preserve">= </w:t>
            </w: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п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/ Q × 100 (%),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п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www.bus.gov.ru в полном соответствии с требованиями приказа Министерства финансов РФ от 21.07.2011 № 86н (на конец отчетного года);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Q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 xml:space="preserve">24 </w:t>
            </w:r>
            <w:r>
              <w:t>= 100%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  <w:tr w:rsidR="001F0ED7">
        <w:trPr>
          <w:trHeight w:val="2050"/>
        </w:trPr>
        <w:tc>
          <w:tcPr>
            <w:tcW w:w="991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6.2.</w:t>
            </w:r>
          </w:p>
        </w:tc>
        <w:tc>
          <w:tcPr>
            <w:tcW w:w="340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1F0ED7" w:rsidRDefault="003E6C81">
            <w:pPr>
              <w:spacing w:beforeAutospacing="1" w:afterAutospacing="1"/>
            </w:pPr>
            <w:r>
              <w:t>Р</w:t>
            </w:r>
            <w:r>
              <w:rPr>
                <w:vertAlign w:val="subscript"/>
              </w:rPr>
              <w:t>24</w:t>
            </w:r>
            <w:r>
              <w:t xml:space="preserve">. 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94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1F0ED7" w:rsidRDefault="003E6C81">
            <w:pPr>
              <w:spacing w:after="40" w:line="240" w:lineRule="exact"/>
              <w:jc w:val="both"/>
            </w:pPr>
            <w:r>
              <w:t>Р</w:t>
            </w:r>
            <w:r>
              <w:rPr>
                <w:vertAlign w:val="subscript"/>
              </w:rPr>
              <w:t>25</w:t>
            </w:r>
            <w:r>
              <w:t xml:space="preserve"> = </w:t>
            </w: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мпф</w:t>
            </w:r>
            <w:proofErr w:type="spellEnd"/>
            <w:r>
              <w:t xml:space="preserve"> / </w:t>
            </w:r>
            <w:proofErr w:type="spellStart"/>
            <w:r>
              <w:t>Q</w:t>
            </w:r>
            <w:r>
              <w:rPr>
                <w:vertAlign w:val="subscript"/>
              </w:rPr>
              <w:t>мп</w:t>
            </w:r>
            <w:proofErr w:type="spellEnd"/>
            <w:r>
              <w:t xml:space="preserve"> × 100 (%),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r>
              <w:t>где: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r>
              <w:t>Q</w:t>
            </w:r>
            <w:r>
              <w:rPr>
                <w:vertAlign w:val="subscript"/>
              </w:rPr>
              <w:t>мп</w:t>
            </w:r>
            <w:proofErr w:type="gramStart"/>
            <w:r>
              <w:rPr>
                <w:vertAlign w:val="subscript"/>
              </w:rPr>
              <w:t>ф</w:t>
            </w:r>
            <w:proofErr w:type="spellEnd"/>
            <w:r>
              <w:t>-</w:t>
            </w:r>
            <w:proofErr w:type="gramEnd"/>
            <w:r>
              <w:t xml:space="preserve"> количество материалов о ходе и результатах реализации  муниципальных  программ, информация о которых  размещена в сети Интернет;</w:t>
            </w:r>
          </w:p>
          <w:p w:rsidR="001F0ED7" w:rsidRDefault="003E6C81">
            <w:pPr>
              <w:spacing w:before="40" w:after="40"/>
              <w:ind w:left="85"/>
              <w:jc w:val="both"/>
            </w:pP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мп</w:t>
            </w:r>
            <w:proofErr w:type="spellEnd"/>
            <w:r>
              <w:t xml:space="preserve"> - общее количество материалов о ходе и результатах реализации  муниципальных  программ, информация о которых должна быть  размещена в сети Интернет.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P</w:t>
            </w:r>
            <w:r>
              <w:rPr>
                <w:vertAlign w:val="subscript"/>
              </w:rPr>
              <w:t xml:space="preserve">25 </w:t>
            </w:r>
            <w:r>
              <w:t>= 100%</w:t>
            </w:r>
          </w:p>
          <w:p w:rsidR="001F0ED7" w:rsidRDefault="001F0ED7">
            <w:pPr>
              <w:spacing w:before="40" w:after="40"/>
              <w:ind w:left="85"/>
            </w:pPr>
          </w:p>
        </w:tc>
        <w:tc>
          <w:tcPr>
            <w:tcW w:w="170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:rsidR="001F0ED7" w:rsidRDefault="003E6C81">
            <w:pPr>
              <w:spacing w:before="40" w:after="40"/>
              <w:ind w:left="85"/>
            </w:pPr>
            <w:r>
              <w:t>3</w:t>
            </w:r>
          </w:p>
          <w:p w:rsidR="001F0ED7" w:rsidRDefault="001F0ED7">
            <w:pPr>
              <w:spacing w:before="40" w:after="40"/>
              <w:ind w:left="85"/>
            </w:pPr>
          </w:p>
        </w:tc>
      </w:tr>
    </w:tbl>
    <w:p w:rsidR="001F0ED7" w:rsidRDefault="001F0ED7"/>
    <w:p w:rsidR="001F0ED7" w:rsidRDefault="001F0ED7"/>
    <w:sectPr w:rsidR="001F0ED7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F0ED7"/>
    <w:rsid w:val="001F0ED7"/>
    <w:rsid w:val="002129AF"/>
    <w:rsid w:val="003E6C81"/>
    <w:rsid w:val="00C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90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2025-03-31T11:47:00Z</dcterms:created>
  <dcterms:modified xsi:type="dcterms:W3CDTF">2025-04-02T13:31:00Z</dcterms:modified>
</cp:coreProperties>
</file>